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72B6" w14:textId="485B580D" w:rsidR="00CB06B7" w:rsidRDefault="00CB06B7" w:rsidP="00C745B8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4EB8099D" w14:textId="1C8CEDA4" w:rsidR="005101F7" w:rsidRDefault="005101F7" w:rsidP="00C745B8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 xml:space="preserve">Jonavos r. Užusalių mokyklos-daugiafunkcio centro </w:t>
      </w:r>
    </w:p>
    <w:p w14:paraId="0555B071" w14:textId="77777777" w:rsidR="005101F7" w:rsidRDefault="005101F7" w:rsidP="00C745B8">
      <w:pPr>
        <w:ind w:left="4253" w:right="532"/>
        <w:rPr>
          <w:sz w:val="24"/>
          <w:szCs w:val="24"/>
        </w:rPr>
      </w:pPr>
      <w:r>
        <w:rPr>
          <w:sz w:val="24"/>
          <w:szCs w:val="24"/>
        </w:rPr>
        <w:t xml:space="preserve">direktoriaus 2022 m. spalio 24  d. </w:t>
      </w:r>
    </w:p>
    <w:p w14:paraId="435EA1D0" w14:textId="652C070C" w:rsidR="005101F7" w:rsidRDefault="005101F7" w:rsidP="00C745B8">
      <w:pPr>
        <w:ind w:left="4253" w:right="532"/>
        <w:rPr>
          <w:sz w:val="24"/>
          <w:szCs w:val="24"/>
        </w:rPr>
      </w:pPr>
      <w:r>
        <w:rPr>
          <w:sz w:val="24"/>
          <w:szCs w:val="24"/>
        </w:rPr>
        <w:t>įsakym</w:t>
      </w:r>
      <w:r w:rsidR="00CB06B7">
        <w:rPr>
          <w:sz w:val="24"/>
          <w:szCs w:val="24"/>
        </w:rPr>
        <w:t>u</w:t>
      </w:r>
      <w:r>
        <w:rPr>
          <w:sz w:val="24"/>
          <w:szCs w:val="24"/>
        </w:rPr>
        <w:t xml:space="preserve"> Nr. V-105</w:t>
      </w:r>
    </w:p>
    <w:p w14:paraId="6318A590" w14:textId="77777777" w:rsidR="005101F7" w:rsidRDefault="005101F7" w:rsidP="00C745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94799A" w14:textId="77777777" w:rsidR="005101F7" w:rsidRPr="00EF5BF9" w:rsidRDefault="005101F7" w:rsidP="00C745B8">
      <w:pPr>
        <w:jc w:val="center"/>
        <w:rPr>
          <w:b/>
          <w:sz w:val="24"/>
          <w:szCs w:val="24"/>
        </w:rPr>
      </w:pPr>
      <w:r w:rsidRPr="00EF5BF9">
        <w:rPr>
          <w:b/>
          <w:sz w:val="24"/>
          <w:szCs w:val="24"/>
        </w:rPr>
        <w:t xml:space="preserve">JONAVOS R. </w:t>
      </w:r>
      <w:r w:rsidRPr="00EF5BF9">
        <w:rPr>
          <w:b/>
          <w:color w:val="000000"/>
          <w:sz w:val="24"/>
          <w:szCs w:val="24"/>
        </w:rPr>
        <w:t>UŽUSALIŲ MOKYKLOS-DAUGIAFUNKCIO CENTRO</w:t>
      </w:r>
    </w:p>
    <w:p w14:paraId="3209DF30" w14:textId="77777777" w:rsidR="005101F7" w:rsidRPr="00EF5BF9" w:rsidRDefault="005101F7" w:rsidP="00C745B8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 w:rsidRPr="00EF5BF9">
        <w:rPr>
          <w:b/>
          <w:sz w:val="24"/>
          <w:szCs w:val="24"/>
        </w:rPr>
        <w:t xml:space="preserve">DAILĖS MOKYTOJO PAREIGYBĖS APRAŠYMAS </w:t>
      </w:r>
    </w:p>
    <w:p w14:paraId="3FC410E6" w14:textId="77777777" w:rsidR="005101F7" w:rsidRPr="00EF5BF9" w:rsidRDefault="005101F7" w:rsidP="00C745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FC926F0" w14:textId="77777777" w:rsidR="005101F7" w:rsidRPr="00EF5BF9" w:rsidRDefault="005101F7" w:rsidP="00C745B8">
      <w:pPr>
        <w:ind w:left="4206" w:right="3972"/>
        <w:jc w:val="center"/>
        <w:rPr>
          <w:b/>
          <w:sz w:val="24"/>
          <w:szCs w:val="24"/>
        </w:rPr>
      </w:pPr>
      <w:r w:rsidRPr="00EF5BF9">
        <w:rPr>
          <w:b/>
          <w:sz w:val="24"/>
          <w:szCs w:val="24"/>
        </w:rPr>
        <w:t>I SKYRIUS PAREIGYBĖ</w:t>
      </w:r>
    </w:p>
    <w:p w14:paraId="42E7A7CB" w14:textId="77777777" w:rsidR="005101F7" w:rsidRPr="00EF5BF9" w:rsidRDefault="005101F7" w:rsidP="00C745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C1CF215" w14:textId="77777777" w:rsidR="005101F7" w:rsidRPr="00EF5BF9" w:rsidRDefault="005101F7" w:rsidP="00C74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right="105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Jonavos r. Užusalių mokyklos-daugiafunkcio centro (toliau - Mokykla) dailės mokytojo pareigybė.</w:t>
      </w:r>
    </w:p>
    <w:p w14:paraId="0D7FF995" w14:textId="78CCB0F8" w:rsidR="005101F7" w:rsidRPr="00EF5BF9" w:rsidRDefault="005101F7" w:rsidP="00C74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Pareigybės lygis – A2. Pareigybės grupė –</w:t>
      </w:r>
      <w:r w:rsidR="00072FC9" w:rsidRPr="00EF5BF9">
        <w:rPr>
          <w:color w:val="000000"/>
          <w:sz w:val="24"/>
          <w:szCs w:val="24"/>
        </w:rPr>
        <w:t xml:space="preserve"> </w:t>
      </w:r>
      <w:r w:rsidRPr="00EF5BF9">
        <w:rPr>
          <w:color w:val="000000"/>
          <w:sz w:val="24"/>
          <w:szCs w:val="24"/>
        </w:rPr>
        <w:t>specialistai, mokytojai.</w:t>
      </w:r>
    </w:p>
    <w:p w14:paraId="01967677" w14:textId="77777777" w:rsidR="005101F7" w:rsidRPr="00EF5BF9" w:rsidRDefault="005101F7" w:rsidP="00C74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Mokytojas pavaldus tiesiogiai direktoriaus pavaduotojui ugdymui.</w:t>
      </w:r>
    </w:p>
    <w:p w14:paraId="044B6297" w14:textId="77777777" w:rsidR="005101F7" w:rsidRPr="00EF5BF9" w:rsidRDefault="005101F7" w:rsidP="00C745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11E68A" w14:textId="77777777" w:rsidR="005101F7" w:rsidRPr="00EF5BF9" w:rsidRDefault="005101F7" w:rsidP="00C745B8">
      <w:pPr>
        <w:ind w:left="793" w:right="797"/>
        <w:jc w:val="center"/>
        <w:rPr>
          <w:b/>
          <w:sz w:val="24"/>
          <w:szCs w:val="24"/>
        </w:rPr>
      </w:pPr>
      <w:r w:rsidRPr="00EF5BF9">
        <w:rPr>
          <w:b/>
          <w:sz w:val="24"/>
          <w:szCs w:val="24"/>
        </w:rPr>
        <w:t>II SKYRIUS</w:t>
      </w:r>
    </w:p>
    <w:p w14:paraId="58C61D7F" w14:textId="77777777" w:rsidR="005101F7" w:rsidRPr="00EF5BF9" w:rsidRDefault="005101F7" w:rsidP="00C745B8">
      <w:pPr>
        <w:ind w:left="567" w:right="797"/>
        <w:jc w:val="center"/>
        <w:rPr>
          <w:b/>
          <w:sz w:val="24"/>
          <w:szCs w:val="24"/>
        </w:rPr>
      </w:pPr>
      <w:r w:rsidRPr="00EF5BF9">
        <w:rPr>
          <w:b/>
          <w:sz w:val="24"/>
          <w:szCs w:val="24"/>
        </w:rPr>
        <w:t>SPECIALŪS REIKALAVIMAI ŠIAS PAREIGAS EINANČIAM MOKYTOJUI</w:t>
      </w:r>
    </w:p>
    <w:p w14:paraId="4366782A" w14:textId="77777777" w:rsidR="005101F7" w:rsidRPr="00EF5BF9" w:rsidRDefault="005101F7" w:rsidP="00C745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D1CB3BB" w14:textId="77777777" w:rsidR="005101F7" w:rsidRPr="00EF5BF9" w:rsidRDefault="005101F7" w:rsidP="00C74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4"/>
        </w:tabs>
        <w:ind w:left="1033" w:hanging="361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Mokytojas, einantis šias pareigas, turi atitikti šiuos specialius reikalavimus:</w:t>
      </w:r>
    </w:p>
    <w:p w14:paraId="6127E9EB" w14:textId="5F904E9D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10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turėti aukštąjį, aukštesnįjį, įgytą iki 2009 metų, ar specialųjį vidurinį, į</w:t>
      </w:r>
      <w:r w:rsidR="000A336B" w:rsidRPr="00EF5BF9">
        <w:rPr>
          <w:color w:val="000000"/>
          <w:sz w:val="24"/>
          <w:szCs w:val="24"/>
        </w:rPr>
        <w:t>gytą iki 1995 metų išsilavinimą.</w:t>
      </w:r>
    </w:p>
    <w:p w14:paraId="5345C62B" w14:textId="238DE9C5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1093" w:hanging="421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būt</w:t>
      </w:r>
      <w:r w:rsidR="000A336B" w:rsidRPr="00EF5BF9">
        <w:rPr>
          <w:color w:val="000000"/>
          <w:sz w:val="24"/>
          <w:szCs w:val="24"/>
        </w:rPr>
        <w:t>i įgijęs pedagogo kvalifikaciją.</w:t>
      </w:r>
    </w:p>
    <w:p w14:paraId="36D04BBE" w14:textId="77777777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2"/>
        </w:tabs>
        <w:ind w:right="106" w:firstLine="571"/>
        <w:jc w:val="both"/>
        <w:rPr>
          <w:sz w:val="24"/>
          <w:szCs w:val="24"/>
        </w:rPr>
      </w:pPr>
      <w:r w:rsidRPr="00EF5BF9">
        <w:rPr>
          <w:color w:val="000000"/>
          <w:sz w:val="24"/>
          <w:szCs w:val="24"/>
        </w:rPr>
        <w:t xml:space="preserve">būti baigęs </w:t>
      </w:r>
      <w:r w:rsidRPr="00EF5BF9">
        <w:rPr>
          <w:sz w:val="24"/>
          <w:szCs w:val="24"/>
        </w:rPr>
        <w:t>dailės/piešimo,</w:t>
      </w:r>
      <w:r w:rsidRPr="00EF5BF9">
        <w:rPr>
          <w:color w:val="000000"/>
          <w:sz w:val="24"/>
          <w:szCs w:val="24"/>
        </w:rPr>
        <w:t xml:space="preserve"> taikomųjų darbų, darbų, buities kultūros, technologijų</w:t>
      </w:r>
      <w:r w:rsidRPr="00EF5BF9">
        <w:rPr>
          <w:sz w:val="24"/>
          <w:szCs w:val="24"/>
        </w:rPr>
        <w:t xml:space="preserve"> mokytojų rengimo programa arba dizaino, menotyros, architektūros studijų programą</w:t>
      </w:r>
      <w:r w:rsidRPr="00EF5BF9">
        <w:rPr>
          <w:color w:val="000000"/>
          <w:sz w:val="24"/>
          <w:szCs w:val="24"/>
        </w:rPr>
        <w:t>.</w:t>
      </w:r>
    </w:p>
    <w:p w14:paraId="6FF695FB" w14:textId="480C3279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privalo mokėti lietuvių kalbą, jos mokėjimo lygis turi atitikti Valstybinės kalbos mokėjimo kategorijų, patvirtintų Lietuvos Respub</w:t>
      </w:r>
      <w:r w:rsidR="000A336B" w:rsidRPr="00EF5BF9">
        <w:rPr>
          <w:color w:val="000000"/>
          <w:sz w:val="24"/>
          <w:szCs w:val="24"/>
        </w:rPr>
        <w:t>likos Vyriausybės reikalavimus.</w:t>
      </w:r>
    </w:p>
    <w:p w14:paraId="61E4B5D8" w14:textId="77777777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6"/>
        </w:tabs>
        <w:ind w:right="100" w:firstLine="571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 xml:space="preserve">būti išklausę lietuvių kalbos kultūros kursus pagal Mokytojų, mokyklų vadovų, jų pavaduotojų ugdymui bei skyrių vedėjų lietuvių kalbos kultūros mokymo programą, patvirtintą Lietuvos Respublikos švietimo ir mokslo ministro </w:t>
      </w:r>
      <w:r w:rsidRPr="00EF5BF9">
        <w:rPr>
          <w:sz w:val="24"/>
          <w:szCs w:val="24"/>
        </w:rPr>
        <w:t>įsakymu.</w:t>
      </w:r>
    </w:p>
    <w:p w14:paraId="0D443162" w14:textId="77777777" w:rsidR="000A336B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turėti skaitmeninio raštingumo kompetencijas pagal Reikalavimų pedagoginių darbuotojų skaitmeninio raštingumo programoms aprašą, kurį tvirtina Lietuvos Respublik</w:t>
      </w:r>
      <w:r w:rsidR="000A336B" w:rsidRPr="00EF5BF9">
        <w:rPr>
          <w:color w:val="000000"/>
          <w:sz w:val="24"/>
          <w:szCs w:val="24"/>
        </w:rPr>
        <w:t>os švietimo ir mokslo ministras.</w:t>
      </w:r>
    </w:p>
    <w:p w14:paraId="7281D7F0" w14:textId="0C2743F0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ind w:right="106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privalo būti išklausę specialiosios pedagogikos ir specialiosios psichologijos kursą mokytojams pagal Specialiosios pedagogikos ir specialiosios psichologijos kvalifikacijos tobulinimo kursų programą, patvirtintą Lietuvos Respublikos švietimo ir mokslo ministro</w:t>
      </w:r>
      <w:r w:rsidRPr="00EF5BF9">
        <w:rPr>
          <w:sz w:val="24"/>
          <w:szCs w:val="24"/>
        </w:rPr>
        <w:t xml:space="preserve"> įsakymu.</w:t>
      </w:r>
    </w:p>
    <w:p w14:paraId="38C6A539" w14:textId="77777777" w:rsidR="000A336B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88" w:right="3" w:hanging="421"/>
        <w:jc w:val="both"/>
        <w:rPr>
          <w:rFonts w:ascii="Calibri" w:eastAsia="Calibri" w:hAnsi="Calibri" w:cs="Calibri"/>
          <w:sz w:val="24"/>
          <w:szCs w:val="24"/>
        </w:rPr>
      </w:pPr>
      <w:r w:rsidRPr="00EF5BF9">
        <w:rPr>
          <w:color w:val="000000"/>
          <w:sz w:val="24"/>
          <w:szCs w:val="24"/>
        </w:rPr>
        <w:t>žinoti darbuotojų saugos ir sveikatos, pri</w:t>
      </w:r>
      <w:r w:rsidR="000A336B" w:rsidRPr="00EF5BF9">
        <w:rPr>
          <w:color w:val="000000"/>
          <w:sz w:val="24"/>
          <w:szCs w:val="24"/>
        </w:rPr>
        <w:t>ešgaisrinės saugos reikalavimus.</w:t>
      </w:r>
    </w:p>
    <w:p w14:paraId="4ABB0AF9" w14:textId="37BD570C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3" w:firstLine="525"/>
        <w:jc w:val="both"/>
        <w:rPr>
          <w:rFonts w:ascii="Calibri" w:eastAsia="Calibri" w:hAnsi="Calibri" w:cs="Calibri"/>
          <w:sz w:val="24"/>
          <w:szCs w:val="24"/>
        </w:rPr>
      </w:pPr>
      <w:r w:rsidRPr="00EF5BF9">
        <w:rPr>
          <w:color w:val="000000"/>
          <w:sz w:val="24"/>
          <w:szCs w:val="24"/>
        </w:rPr>
        <w:t xml:space="preserve">atitikti kitus reikalavimus, nustatytus Reikalavimų mokytojų kvalifikacijai apraše, patvirtintame Lietuvos Respublikos švietimo ir mokslo ministro </w:t>
      </w:r>
      <w:r w:rsidRPr="00EF5BF9">
        <w:rPr>
          <w:sz w:val="24"/>
          <w:szCs w:val="24"/>
        </w:rPr>
        <w:t>įsakymu.</w:t>
      </w:r>
    </w:p>
    <w:p w14:paraId="378C9063" w14:textId="3D0D7F63" w:rsidR="000A336B" w:rsidRPr="00EF5BF9" w:rsidRDefault="000A336B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7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žinoti ir išmanyti</w:t>
      </w:r>
      <w:r w:rsidR="005101F7" w:rsidRPr="00EF5BF9">
        <w:rPr>
          <w:color w:val="000000"/>
          <w:sz w:val="24"/>
          <w:szCs w:val="24"/>
        </w:rPr>
        <w:t xml:space="preserve"> Mokyklos struktūr</w:t>
      </w:r>
      <w:r w:rsidRPr="00EF5BF9">
        <w:rPr>
          <w:color w:val="000000"/>
          <w:sz w:val="24"/>
          <w:szCs w:val="24"/>
        </w:rPr>
        <w:t>ą, darbo organizavimo principus,</w:t>
      </w:r>
      <w:r w:rsidR="005101F7" w:rsidRPr="00EF5BF9">
        <w:rPr>
          <w:color w:val="000000"/>
          <w:sz w:val="24"/>
          <w:szCs w:val="24"/>
        </w:rPr>
        <w:t xml:space="preserve"> Mokyklos nuostatus, Mokyklos darbo tvarkos taisykles, asmens duomenų saugojimo politiką, Mokyklos veiklą reglamentuojančius norminius aktus, Lietuvos Respublikos švietimo įstatymą ir kitus teisės aktus, reglamentuojančius mokinių ugdymą ir mokytojo darbą.</w:t>
      </w:r>
    </w:p>
    <w:p w14:paraId="1257395C" w14:textId="77777777" w:rsidR="000A336B" w:rsidRPr="00EF5BF9" w:rsidRDefault="000A336B" w:rsidP="00C745B8">
      <w:pPr>
        <w:ind w:left="1884" w:right="1885"/>
        <w:jc w:val="center"/>
        <w:rPr>
          <w:b/>
          <w:sz w:val="24"/>
          <w:szCs w:val="24"/>
        </w:rPr>
      </w:pPr>
    </w:p>
    <w:p w14:paraId="3EDE04E4" w14:textId="77777777" w:rsidR="005101F7" w:rsidRPr="00EF5BF9" w:rsidRDefault="005101F7" w:rsidP="00C745B8">
      <w:pPr>
        <w:ind w:left="1884" w:right="1885"/>
        <w:jc w:val="center"/>
        <w:rPr>
          <w:b/>
          <w:sz w:val="24"/>
          <w:szCs w:val="24"/>
        </w:rPr>
      </w:pPr>
      <w:r w:rsidRPr="00EF5BF9">
        <w:rPr>
          <w:b/>
          <w:sz w:val="24"/>
          <w:szCs w:val="24"/>
        </w:rPr>
        <w:t>III SKYRIUS</w:t>
      </w:r>
    </w:p>
    <w:p w14:paraId="666E8747" w14:textId="77777777" w:rsidR="005101F7" w:rsidRPr="00EF5BF9" w:rsidRDefault="005101F7" w:rsidP="00C745B8">
      <w:pPr>
        <w:ind w:left="1560" w:right="1892"/>
        <w:jc w:val="center"/>
        <w:rPr>
          <w:b/>
          <w:sz w:val="24"/>
          <w:szCs w:val="24"/>
        </w:rPr>
      </w:pPr>
      <w:r w:rsidRPr="00EF5BF9">
        <w:rPr>
          <w:b/>
          <w:sz w:val="24"/>
          <w:szCs w:val="24"/>
        </w:rPr>
        <w:t>ŠIAS PAREIGAS EINANČIO MOKYTOJO FUNKCIJOS</w:t>
      </w:r>
    </w:p>
    <w:p w14:paraId="39489093" w14:textId="77777777" w:rsidR="005101F7" w:rsidRPr="00EF5BF9" w:rsidRDefault="005101F7" w:rsidP="00C745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FDF32D1" w14:textId="77777777" w:rsidR="005101F7" w:rsidRPr="00EF5BF9" w:rsidRDefault="005101F7" w:rsidP="00C745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Šias pareigas einantis mokytojas vykdo šias funkcijas:</w:t>
      </w:r>
    </w:p>
    <w:p w14:paraId="20AD467B" w14:textId="33F81F8A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 xml:space="preserve">ugdo mokinius pagal dailės bendrąją programą ir jai įgyvendinti Mokyklos </w:t>
      </w:r>
      <w:r w:rsidR="000A336B" w:rsidRPr="00EF5BF9">
        <w:rPr>
          <w:color w:val="000000"/>
          <w:sz w:val="24"/>
          <w:szCs w:val="24"/>
        </w:rPr>
        <w:t>ugdymo plane numatytas valandas.</w:t>
      </w:r>
    </w:p>
    <w:p w14:paraId="0C85567F" w14:textId="77777777" w:rsidR="000A336B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lastRenderedPageBreak/>
        <w:t xml:space="preserve"> ugdymo procesą organizuoja remdamasis mokinių gebėjimais, polinkiais ir poreikiais, atsižvelgdamas į mokinių asmeninę, </w:t>
      </w:r>
      <w:r w:rsidR="000A336B" w:rsidRPr="00EF5BF9">
        <w:rPr>
          <w:color w:val="000000"/>
          <w:sz w:val="24"/>
          <w:szCs w:val="24"/>
        </w:rPr>
        <w:t>socialinę ir kultūrinę patirtį.</w:t>
      </w:r>
    </w:p>
    <w:p w14:paraId="675E3611" w14:textId="77777777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right="104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suteikia pagalbą mokiniams, turintiems ugdymosi, mokymosi sunkumų ir specialiųjų ugdymosi poreikių, pritaiko jiems dalyko programą, turinį, metodus.</w:t>
      </w:r>
    </w:p>
    <w:p w14:paraId="3DAD9070" w14:textId="0CE6686A" w:rsidR="005101F7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right="102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 xml:space="preserve">vertina mokinių pasiekimus ir informuoja apie mokymosi pažangą mokinių tėvus (globėjus) ir Mokyklos vadovus, bendradarbiauja su </w:t>
      </w:r>
      <w:r w:rsidR="000A336B" w:rsidRPr="00EF5BF9">
        <w:rPr>
          <w:color w:val="000000"/>
          <w:sz w:val="24"/>
          <w:szCs w:val="24"/>
        </w:rPr>
        <w:t>mokyklos pedagogais</w:t>
      </w:r>
      <w:r w:rsidRPr="00EF5BF9">
        <w:rPr>
          <w:color w:val="000000"/>
          <w:sz w:val="24"/>
          <w:szCs w:val="24"/>
        </w:rPr>
        <w:t>, analizuoja ir įsivertina savo pedagoginę veiklą, to</w:t>
      </w:r>
      <w:r w:rsidR="000A336B" w:rsidRPr="00EF5BF9">
        <w:rPr>
          <w:color w:val="000000"/>
          <w:sz w:val="24"/>
          <w:szCs w:val="24"/>
        </w:rPr>
        <w:t>bulina profesines kompetencijas.</w:t>
      </w:r>
    </w:p>
    <w:p w14:paraId="04BF62A4" w14:textId="77777777" w:rsidR="000A336B" w:rsidRPr="00EF5BF9" w:rsidRDefault="005101F7" w:rsidP="00C74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organizuoja ir vykd</w:t>
      </w:r>
      <w:r w:rsidR="000A336B" w:rsidRPr="00EF5BF9">
        <w:rPr>
          <w:color w:val="000000"/>
          <w:sz w:val="24"/>
          <w:szCs w:val="24"/>
        </w:rPr>
        <w:t>o veiklas Mokyklos bendruomenei,</w:t>
      </w:r>
      <w:r w:rsidRPr="00EF5BF9">
        <w:rPr>
          <w:color w:val="000000"/>
          <w:sz w:val="24"/>
          <w:szCs w:val="24"/>
        </w:rPr>
        <w:t xml:space="preserve"> rengia mokinius konkursams, organizuoja Mokyklos ir rajono mokinių dailės darbų parodas, edukacines išvykas; </w:t>
      </w:r>
    </w:p>
    <w:p w14:paraId="6409862D" w14:textId="77777777" w:rsidR="00CB06B7" w:rsidRDefault="005101F7" w:rsidP="00CB06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EF5BF9">
        <w:rPr>
          <w:color w:val="000000"/>
          <w:sz w:val="24"/>
          <w:szCs w:val="24"/>
        </w:rPr>
        <w:t>dalyvauja mokyklos sudar</w:t>
      </w:r>
      <w:r w:rsidR="000A336B" w:rsidRPr="00EF5BF9">
        <w:rPr>
          <w:color w:val="000000"/>
          <w:sz w:val="24"/>
          <w:szCs w:val="24"/>
        </w:rPr>
        <w:t>ytose darbo grupėse, komisijose,</w:t>
      </w:r>
      <w:r w:rsidRPr="00EF5BF9">
        <w:rPr>
          <w:color w:val="000000"/>
          <w:sz w:val="24"/>
          <w:szCs w:val="24"/>
        </w:rPr>
        <w:t xml:space="preserve"> susirinkimuose, posėdžiuose, Mokyklos bendrojo u</w:t>
      </w:r>
      <w:r w:rsidR="000A336B" w:rsidRPr="00EF5BF9">
        <w:rPr>
          <w:color w:val="000000"/>
          <w:sz w:val="24"/>
          <w:szCs w:val="24"/>
        </w:rPr>
        <w:t>gdymo dalykų metodinėje grupėje.</w:t>
      </w:r>
    </w:p>
    <w:p w14:paraId="5E87F5EE" w14:textId="30478CD4" w:rsidR="005101F7" w:rsidRPr="00CB06B7" w:rsidRDefault="005101F7" w:rsidP="00CB06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6"/>
        </w:tabs>
        <w:ind w:right="101" w:firstLine="566"/>
        <w:jc w:val="both"/>
        <w:rPr>
          <w:color w:val="000000"/>
          <w:sz w:val="24"/>
          <w:szCs w:val="24"/>
        </w:rPr>
      </w:pPr>
      <w:r w:rsidRPr="00CB06B7">
        <w:rPr>
          <w:color w:val="000000"/>
          <w:sz w:val="24"/>
          <w:szCs w:val="24"/>
        </w:rPr>
        <w:t>dalyvauja rajono bendrojo ugdymo įstaigų dailės mokytojų metodinės grupės veiklo</w:t>
      </w:r>
      <w:r w:rsidR="00EF5BF9" w:rsidRPr="00CB06B7">
        <w:rPr>
          <w:color w:val="000000"/>
          <w:sz w:val="24"/>
          <w:szCs w:val="24"/>
        </w:rPr>
        <w:t>je, tobulina savo kvalifikaciją,</w:t>
      </w:r>
      <w:r w:rsidR="00CB06B7" w:rsidRPr="00CB06B7">
        <w:rPr>
          <w:spacing w:val="-58"/>
          <w:sz w:val="24"/>
          <w:szCs w:val="24"/>
        </w:rPr>
        <w:t xml:space="preserve"> </w:t>
      </w:r>
      <w:r w:rsidR="00CB06B7" w:rsidRPr="00CB06B7">
        <w:rPr>
          <w:spacing w:val="1"/>
          <w:sz w:val="24"/>
          <w:szCs w:val="24"/>
        </w:rPr>
        <w:t xml:space="preserve">jei paskirtas </w:t>
      </w:r>
      <w:r w:rsidR="00CB06B7" w:rsidRPr="00CB06B7">
        <w:rPr>
          <w:sz w:val="24"/>
          <w:szCs w:val="24"/>
        </w:rPr>
        <w:t>vadovauti</w:t>
      </w:r>
      <w:r w:rsidR="00CB06B7" w:rsidRPr="00CB06B7">
        <w:rPr>
          <w:spacing w:val="1"/>
          <w:sz w:val="24"/>
          <w:szCs w:val="24"/>
        </w:rPr>
        <w:t xml:space="preserve"> </w:t>
      </w:r>
      <w:r w:rsidR="00CB06B7" w:rsidRPr="00CB06B7">
        <w:rPr>
          <w:sz w:val="24"/>
          <w:szCs w:val="24"/>
        </w:rPr>
        <w:t>klasei</w:t>
      </w:r>
      <w:r w:rsidR="00CB06B7" w:rsidRPr="00CB06B7">
        <w:rPr>
          <w:spacing w:val="1"/>
          <w:sz w:val="24"/>
          <w:szCs w:val="24"/>
        </w:rPr>
        <w:t xml:space="preserve">, vadovauja jai </w:t>
      </w:r>
      <w:r w:rsidR="00CB06B7" w:rsidRPr="00CB06B7">
        <w:rPr>
          <w:sz w:val="24"/>
          <w:szCs w:val="24"/>
        </w:rPr>
        <w:t>pagal</w:t>
      </w:r>
      <w:r w:rsidR="00CB06B7" w:rsidRPr="00CB06B7">
        <w:rPr>
          <w:spacing w:val="1"/>
          <w:sz w:val="24"/>
          <w:szCs w:val="24"/>
        </w:rPr>
        <w:t xml:space="preserve"> </w:t>
      </w:r>
      <w:r w:rsidR="00CB06B7" w:rsidRPr="00CB06B7">
        <w:rPr>
          <w:sz w:val="24"/>
          <w:szCs w:val="24"/>
        </w:rPr>
        <w:t>Mokyklos</w:t>
      </w:r>
      <w:r w:rsidR="00CB06B7" w:rsidRPr="00CB06B7">
        <w:rPr>
          <w:spacing w:val="1"/>
          <w:sz w:val="24"/>
          <w:szCs w:val="24"/>
        </w:rPr>
        <w:t xml:space="preserve"> </w:t>
      </w:r>
      <w:r w:rsidR="00CB06B7" w:rsidRPr="00CB06B7">
        <w:rPr>
          <w:sz w:val="24"/>
          <w:szCs w:val="24"/>
        </w:rPr>
        <w:t xml:space="preserve">direktoriaus </w:t>
      </w:r>
      <w:r w:rsidR="00CB06B7" w:rsidRPr="00CB06B7">
        <w:rPr>
          <w:spacing w:val="-57"/>
          <w:sz w:val="24"/>
          <w:szCs w:val="24"/>
        </w:rPr>
        <w:t xml:space="preserve"> </w:t>
      </w:r>
      <w:r w:rsidR="00CB06B7" w:rsidRPr="00CB06B7">
        <w:rPr>
          <w:sz w:val="24"/>
          <w:szCs w:val="24"/>
        </w:rPr>
        <w:t>įsakymu</w:t>
      </w:r>
      <w:r w:rsidR="00CB06B7" w:rsidRPr="00CB06B7">
        <w:rPr>
          <w:spacing w:val="-1"/>
          <w:sz w:val="24"/>
          <w:szCs w:val="24"/>
        </w:rPr>
        <w:t xml:space="preserve"> </w:t>
      </w:r>
      <w:r w:rsidR="00CB06B7" w:rsidRPr="00CB06B7">
        <w:rPr>
          <w:sz w:val="24"/>
          <w:szCs w:val="24"/>
        </w:rPr>
        <w:t>patvirtintą Klasės</w:t>
      </w:r>
      <w:r w:rsidR="00CB06B7" w:rsidRPr="00CB06B7">
        <w:rPr>
          <w:spacing w:val="-1"/>
          <w:sz w:val="24"/>
          <w:szCs w:val="24"/>
        </w:rPr>
        <w:t xml:space="preserve"> </w:t>
      </w:r>
      <w:r w:rsidR="00CB06B7" w:rsidRPr="00CB06B7">
        <w:rPr>
          <w:sz w:val="24"/>
          <w:szCs w:val="24"/>
        </w:rPr>
        <w:t>vadovo veiklos aprašą.</w:t>
      </w:r>
    </w:p>
    <w:p w14:paraId="20F2A479" w14:textId="77777777" w:rsidR="005101F7" w:rsidRPr="00EF5BF9" w:rsidRDefault="005101F7" w:rsidP="00C745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F5BF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88821D8" wp14:editId="49875274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Laisva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779365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" h="120000" extrusionOk="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806E2" id="Laisva forma 2" o:spid="_x0000_s1026" style="position:absolute;margin-left:189pt;margin-top:15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28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" path="m,l2280,e" filled="f">
                <v:path arrowok="t" o:extrusionok="f"/>
                <w10:wrap type="topAndBottom"/>
              </v:shape>
            </w:pict>
          </mc:Fallback>
        </mc:AlternateContent>
      </w:r>
      <w:r w:rsidRPr="00EF5BF9">
        <w:rPr>
          <w:color w:val="000000"/>
          <w:sz w:val="24"/>
          <w:szCs w:val="24"/>
        </w:rPr>
        <w:t>_________________</w:t>
      </w:r>
    </w:p>
    <w:p w14:paraId="179C76D9" w14:textId="77777777" w:rsidR="00AB5297" w:rsidRPr="00EF5BF9" w:rsidRDefault="00AB5297" w:rsidP="00C745B8">
      <w:pPr>
        <w:rPr>
          <w:sz w:val="24"/>
          <w:szCs w:val="24"/>
        </w:rPr>
      </w:pPr>
    </w:p>
    <w:sectPr w:rsidR="00AB5297" w:rsidRPr="00EF5BF9" w:rsidSect="000A336B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6572"/>
    <w:multiLevelType w:val="multilevel"/>
    <w:tmpl w:val="247E771C"/>
    <w:lvl w:ilvl="0">
      <w:start w:val="1"/>
      <w:numFmt w:val="decimal"/>
      <w:lvlText w:val="%1."/>
      <w:lvlJc w:val="left"/>
      <w:pPr>
        <w:ind w:left="102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7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4560" w:hanging="428"/>
      </w:pPr>
    </w:lvl>
    <w:lvl w:ilvl="3">
      <w:numFmt w:val="bullet"/>
      <w:lvlText w:val="•"/>
      <w:lvlJc w:val="left"/>
      <w:pPr>
        <w:ind w:left="5220" w:hanging="428"/>
      </w:pPr>
    </w:lvl>
    <w:lvl w:ilvl="4">
      <w:numFmt w:val="bullet"/>
      <w:lvlText w:val="•"/>
      <w:lvlJc w:val="left"/>
      <w:pPr>
        <w:ind w:left="5881" w:hanging="427"/>
      </w:pPr>
    </w:lvl>
    <w:lvl w:ilvl="5">
      <w:numFmt w:val="bullet"/>
      <w:lvlText w:val="•"/>
      <w:lvlJc w:val="left"/>
      <w:pPr>
        <w:ind w:left="6542" w:hanging="427"/>
      </w:pPr>
    </w:lvl>
    <w:lvl w:ilvl="6">
      <w:numFmt w:val="bullet"/>
      <w:lvlText w:val="•"/>
      <w:lvlJc w:val="left"/>
      <w:pPr>
        <w:ind w:left="7203" w:hanging="428"/>
      </w:pPr>
    </w:lvl>
    <w:lvl w:ilvl="7">
      <w:numFmt w:val="bullet"/>
      <w:lvlText w:val="•"/>
      <w:lvlJc w:val="left"/>
      <w:pPr>
        <w:ind w:left="7864" w:hanging="428"/>
      </w:pPr>
    </w:lvl>
    <w:lvl w:ilvl="8">
      <w:numFmt w:val="bullet"/>
      <w:lvlText w:val="•"/>
      <w:lvlJc w:val="left"/>
      <w:pPr>
        <w:ind w:left="8524" w:hanging="428"/>
      </w:pPr>
    </w:lvl>
  </w:abstractNum>
  <w:abstractNum w:abstractNumId="1" w15:restartNumberingAfterBreak="0">
    <w:nsid w:val="1FC16781"/>
    <w:multiLevelType w:val="multilevel"/>
    <w:tmpl w:val="E250A08C"/>
    <w:lvl w:ilvl="0">
      <w:start w:val="1"/>
      <w:numFmt w:val="decimal"/>
      <w:lvlText w:val="%1.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5111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703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295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887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79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070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62" w:hanging="428"/>
      </w:pPr>
      <w:rPr>
        <w:rFonts w:hint="default"/>
        <w:lang w:val="lt-LT" w:eastAsia="en-US" w:bidi="ar-SA"/>
      </w:rPr>
    </w:lvl>
  </w:abstractNum>
  <w:abstractNum w:abstractNumId="2" w15:restartNumberingAfterBreak="0">
    <w:nsid w:val="58574C4D"/>
    <w:multiLevelType w:val="multilevel"/>
    <w:tmpl w:val="7E200F92"/>
    <w:lvl w:ilvl="0">
      <w:start w:val="1"/>
      <w:numFmt w:val="decimal"/>
      <w:lvlText w:val="%1.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560" w:hanging="428"/>
      </w:pPr>
      <w:rPr>
        <w:lang w:val="lt-LT" w:eastAsia="en-US" w:bidi="ar-SA"/>
      </w:rPr>
    </w:lvl>
    <w:lvl w:ilvl="3">
      <w:numFmt w:val="bullet"/>
      <w:lvlText w:val="•"/>
      <w:lvlJc w:val="left"/>
      <w:pPr>
        <w:ind w:left="5220" w:hanging="428"/>
      </w:pPr>
      <w:rPr>
        <w:lang w:val="lt-LT" w:eastAsia="en-US" w:bidi="ar-SA"/>
      </w:rPr>
    </w:lvl>
    <w:lvl w:ilvl="4">
      <w:numFmt w:val="bullet"/>
      <w:lvlText w:val="•"/>
      <w:lvlJc w:val="left"/>
      <w:pPr>
        <w:ind w:left="5881" w:hanging="428"/>
      </w:pPr>
      <w:rPr>
        <w:lang w:val="lt-LT" w:eastAsia="en-US" w:bidi="ar-SA"/>
      </w:rPr>
    </w:lvl>
    <w:lvl w:ilvl="5">
      <w:numFmt w:val="bullet"/>
      <w:lvlText w:val="•"/>
      <w:lvlJc w:val="left"/>
      <w:pPr>
        <w:ind w:left="6542" w:hanging="428"/>
      </w:pPr>
      <w:rPr>
        <w:lang w:val="lt-LT" w:eastAsia="en-US" w:bidi="ar-SA"/>
      </w:rPr>
    </w:lvl>
    <w:lvl w:ilvl="6">
      <w:numFmt w:val="bullet"/>
      <w:lvlText w:val="•"/>
      <w:lvlJc w:val="left"/>
      <w:pPr>
        <w:ind w:left="7203" w:hanging="428"/>
      </w:pPr>
      <w:rPr>
        <w:lang w:val="lt-LT" w:eastAsia="en-US" w:bidi="ar-SA"/>
      </w:rPr>
    </w:lvl>
    <w:lvl w:ilvl="7">
      <w:numFmt w:val="bullet"/>
      <w:lvlText w:val="•"/>
      <w:lvlJc w:val="left"/>
      <w:pPr>
        <w:ind w:left="7864" w:hanging="428"/>
      </w:pPr>
      <w:rPr>
        <w:lang w:val="lt-LT" w:eastAsia="en-US" w:bidi="ar-SA"/>
      </w:rPr>
    </w:lvl>
    <w:lvl w:ilvl="8">
      <w:numFmt w:val="bullet"/>
      <w:lvlText w:val="•"/>
      <w:lvlJc w:val="left"/>
      <w:pPr>
        <w:ind w:left="8524" w:hanging="428"/>
      </w:pPr>
      <w:rPr>
        <w:lang w:val="lt-LT" w:eastAsia="en-US" w:bidi="ar-SA"/>
      </w:rPr>
    </w:lvl>
  </w:abstractNum>
  <w:num w:numId="1" w16cid:durableId="2132822745">
    <w:abstractNumId w:val="0"/>
  </w:num>
  <w:num w:numId="2" w16cid:durableId="127575340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1581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F7"/>
    <w:rsid w:val="00072FC9"/>
    <w:rsid w:val="000A336B"/>
    <w:rsid w:val="005101F7"/>
    <w:rsid w:val="00AB5297"/>
    <w:rsid w:val="00C745B8"/>
    <w:rsid w:val="00CB06B7"/>
    <w:rsid w:val="00E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A25E"/>
  <w15:chartTrackingRefBased/>
  <w15:docId w15:val="{51B47C11-E582-453F-83BF-A76D290D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5101F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F5BF9"/>
    <w:pPr>
      <w:autoSpaceDE w:val="0"/>
      <w:autoSpaceDN w:val="0"/>
      <w:ind w:left="102" w:firstLine="566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OLGA NIKITINA</cp:lastModifiedBy>
  <cp:revision>6</cp:revision>
  <dcterms:created xsi:type="dcterms:W3CDTF">2022-12-27T00:12:00Z</dcterms:created>
  <dcterms:modified xsi:type="dcterms:W3CDTF">2023-01-16T10:37:00Z</dcterms:modified>
</cp:coreProperties>
</file>